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D2C7C" w14:textId="5CF93202" w:rsidR="00214E6A" w:rsidRPr="004A1A95" w:rsidRDefault="00214E6A" w:rsidP="00214E6A">
      <w:pPr>
        <w:pStyle w:val="3GPPHeader"/>
        <w:spacing w:after="60"/>
        <w:rPr>
          <w:sz w:val="32"/>
          <w:szCs w:val="32"/>
        </w:rPr>
      </w:pPr>
      <w:r>
        <w:t>3GPP RAN WG2 Meeting #1</w:t>
      </w:r>
      <w:r w:rsidR="00AC76A8">
        <w:t>1</w:t>
      </w:r>
      <w:r w:rsidR="00EC108B">
        <w:t>2</w:t>
      </w:r>
      <w:r w:rsidR="00AC76A8">
        <w:t>e</w:t>
      </w:r>
      <w:r w:rsidRPr="004A1A95">
        <w:tab/>
      </w:r>
      <w:r w:rsidRPr="00102774">
        <w:rPr>
          <w:rFonts w:cs="Arial"/>
          <w:bCs/>
          <w:sz w:val="26"/>
          <w:szCs w:val="26"/>
        </w:rPr>
        <w:t>R2-</w:t>
      </w:r>
      <w:r w:rsidR="00AC76A8">
        <w:rPr>
          <w:rFonts w:cs="Arial"/>
          <w:bCs/>
          <w:sz w:val="26"/>
          <w:szCs w:val="26"/>
        </w:rPr>
        <w:t>20</w:t>
      </w:r>
      <w:r w:rsidR="00D134EB">
        <w:rPr>
          <w:rFonts w:cs="Arial"/>
          <w:bCs/>
          <w:sz w:val="26"/>
          <w:szCs w:val="26"/>
        </w:rPr>
        <w:t>10454</w:t>
      </w:r>
    </w:p>
    <w:p w14:paraId="698051DC" w14:textId="25B61CC6" w:rsidR="00214E6A" w:rsidRPr="00702A88" w:rsidRDefault="00AC76A8" w:rsidP="00214E6A">
      <w:pPr>
        <w:pStyle w:val="3GPPHeader"/>
      </w:pPr>
      <w:proofErr w:type="spellStart"/>
      <w:r>
        <w:t>eMeeting</w:t>
      </w:r>
      <w:proofErr w:type="spellEnd"/>
      <w:r w:rsidR="00214E6A" w:rsidRPr="00CC0905">
        <w:t xml:space="preserve"> </w:t>
      </w:r>
      <w:r w:rsidR="00EC108B">
        <w:t>November 2</w:t>
      </w:r>
      <w:r w:rsidR="00EC108B" w:rsidRPr="00EC108B">
        <w:rPr>
          <w:vertAlign w:val="superscript"/>
        </w:rPr>
        <w:t>nd</w:t>
      </w:r>
      <w:r w:rsidR="00EC108B">
        <w:t xml:space="preserve"> – 13</w:t>
      </w:r>
      <w:r w:rsidR="00EC108B" w:rsidRPr="00EC108B">
        <w:rPr>
          <w:vertAlign w:val="superscript"/>
        </w:rPr>
        <w:t>th</w:t>
      </w:r>
      <w:r w:rsidR="004040A2">
        <w:t>,</w:t>
      </w:r>
      <w:r w:rsidR="00214E6A" w:rsidRPr="00CC0905">
        <w:t xml:space="preserve"> </w:t>
      </w:r>
      <w:proofErr w:type="gramStart"/>
      <w:r w:rsidR="00214E6A" w:rsidRPr="00CC0905">
        <w:t>20</w:t>
      </w:r>
      <w:r w:rsidR="003D2B16">
        <w:t>20</w:t>
      </w:r>
      <w:r w:rsidR="00CD05AE">
        <w:t xml:space="preserve">  </w:t>
      </w:r>
      <w:r w:rsidR="004117AE">
        <w:tab/>
      </w:r>
      <w:proofErr w:type="gramEnd"/>
      <w:r w:rsidR="004117AE" w:rsidRPr="004117AE">
        <w:rPr>
          <w:i/>
        </w:rPr>
        <w:t>Revision of R2-2007618</w:t>
      </w:r>
      <w:r w:rsidR="00CD05AE">
        <w:t xml:space="preserve">                                  </w:t>
      </w:r>
      <w:r w:rsidR="0024763F">
        <w:t xml:space="preserve">   </w:t>
      </w:r>
    </w:p>
    <w:p w14:paraId="7AD14354" w14:textId="3A613B19"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97111B">
        <w:rPr>
          <w:sz w:val="22"/>
          <w:szCs w:val="22"/>
          <w:lang w:val="sv-SE"/>
        </w:rPr>
        <w:t>8.10.3.3</w:t>
      </w:r>
    </w:p>
    <w:p w14:paraId="4910E89F" w14:textId="77777777" w:rsidR="00214E6A" w:rsidRPr="0097111B" w:rsidRDefault="00214E6A" w:rsidP="00214E6A">
      <w:pPr>
        <w:pStyle w:val="3GPPHeader"/>
        <w:rPr>
          <w:sz w:val="22"/>
          <w:szCs w:val="22"/>
          <w:lang w:val="en-US"/>
        </w:rPr>
      </w:pPr>
      <w:r w:rsidRPr="0097111B">
        <w:rPr>
          <w:sz w:val="22"/>
          <w:szCs w:val="22"/>
          <w:lang w:val="en-US"/>
        </w:rPr>
        <w:t>Source:</w:t>
      </w:r>
      <w:r w:rsidRPr="0097111B">
        <w:rPr>
          <w:sz w:val="22"/>
          <w:szCs w:val="22"/>
          <w:lang w:val="en-US"/>
        </w:rPr>
        <w:tab/>
        <w:t>InterDigital</w:t>
      </w:r>
    </w:p>
    <w:p w14:paraId="28B90663" w14:textId="4E219690"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F91634">
        <w:rPr>
          <w:sz w:val="22"/>
          <w:szCs w:val="22"/>
        </w:rPr>
        <w:t>C</w:t>
      </w:r>
      <w:r w:rsidR="0097111B">
        <w:rPr>
          <w:sz w:val="22"/>
          <w:szCs w:val="22"/>
        </w:rPr>
        <w:t>onnected mode mobility</w:t>
      </w:r>
      <w:r w:rsidR="00F91634">
        <w:rPr>
          <w:sz w:val="22"/>
          <w:szCs w:val="22"/>
        </w:rPr>
        <w:t xml:space="preserve"> in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2709A555" w14:textId="77777777" w:rsidR="00FD7D29" w:rsidRDefault="00FD7D29" w:rsidP="00FD7D29">
      <w:r>
        <w:t xml:space="preserve">This contribution discusses enhancements to connected-mode mobility for NTN given challenges faced in applying traditional measurement-based mobility to an NTN environment. It is proposed to enhance aspects of Rel-17 mobility with knowledge of UE-satellite location information. </w:t>
      </w:r>
    </w:p>
    <w:p w14:paraId="3818865F" w14:textId="77777777" w:rsidR="00FD7D29" w:rsidRDefault="00FD7D29" w:rsidP="00FD7D29">
      <w:r>
        <w:t xml:space="preserve">This issue has been captured for RAN2 Rel-17 standardization </w:t>
      </w:r>
      <w:r w:rsidRPr="00370C83">
        <w:t>in the WID [1] as</w:t>
      </w:r>
      <w:r>
        <w:t xml:space="preserve"> follows:</w:t>
      </w:r>
    </w:p>
    <w:p w14:paraId="1FE7B1D9" w14:textId="77777777" w:rsidR="00FD7D29" w:rsidRPr="0013125D" w:rsidRDefault="00FD7D29" w:rsidP="00FD7D29">
      <w:pPr>
        <w:pStyle w:val="ListParagraph"/>
        <w:numPr>
          <w:ilvl w:val="0"/>
          <w:numId w:val="15"/>
        </w:numPr>
        <w:spacing w:after="200" w:line="276" w:lineRule="auto"/>
        <w:rPr>
          <w:rFonts w:ascii="Arial" w:hAnsi="Arial" w:cs="Arial"/>
          <w:i/>
          <w:sz w:val="20"/>
          <w:szCs w:val="20"/>
        </w:rPr>
      </w:pPr>
      <w:r w:rsidRPr="0013125D">
        <w:rPr>
          <w:rFonts w:ascii="Arial" w:hAnsi="Arial" w:cs="Arial"/>
          <w:i/>
          <w:sz w:val="20"/>
          <w:szCs w:val="20"/>
        </w:rPr>
        <w:t>Connected mode</w:t>
      </w:r>
    </w:p>
    <w:p w14:paraId="169E8250" w14:textId="77777777" w:rsidR="00FD7D29" w:rsidRPr="0013125D" w:rsidRDefault="00FD7D29" w:rsidP="00FD7D29">
      <w:pPr>
        <w:pStyle w:val="ListParagraph"/>
        <w:numPr>
          <w:ilvl w:val="1"/>
          <w:numId w:val="15"/>
        </w:numPr>
        <w:rPr>
          <w:rFonts w:ascii="Arial" w:hAnsi="Arial" w:cs="Arial"/>
          <w:sz w:val="20"/>
          <w:szCs w:val="20"/>
        </w:rPr>
      </w:pPr>
      <w:r w:rsidRPr="0013125D">
        <w:rPr>
          <w:rFonts w:ascii="Arial" w:hAnsi="Arial" w:cs="Arial"/>
          <w:i/>
          <w:sz w:val="20"/>
          <w:szCs w:val="20"/>
        </w:rPr>
        <w:t xml:space="preserve">Enhancement necessary to </w:t>
      </w:r>
      <w:proofErr w:type="gramStart"/>
      <w:r w:rsidRPr="0013125D">
        <w:rPr>
          <w:rFonts w:ascii="Arial" w:hAnsi="Arial" w:cs="Arial"/>
          <w:i/>
          <w:sz w:val="20"/>
          <w:szCs w:val="20"/>
        </w:rPr>
        <w:t>take into account</w:t>
      </w:r>
      <w:proofErr w:type="gramEnd"/>
      <w:r w:rsidRPr="0013125D">
        <w:rPr>
          <w:rFonts w:ascii="Arial" w:hAnsi="Arial" w:cs="Arial"/>
          <w:i/>
          <w:sz w:val="20"/>
          <w:szCs w:val="20"/>
        </w:rPr>
        <w:t xml:space="preserve"> location information (UE &amp; Satellite/HAPS) and/or ephemeris in determining when to perform hand-over, in order to have a high degree of hand-over control for hand-over robustness and coverage management.</w:t>
      </w:r>
    </w:p>
    <w:p w14:paraId="59F9FE8B" w14:textId="5AB20AE6" w:rsidR="00FD7D29" w:rsidRPr="006E418E" w:rsidRDefault="00FD7D29" w:rsidP="00FD7D29">
      <w:r w:rsidRPr="006C0226">
        <w:t xml:space="preserve">Specific enhancements discussed include modifications to measurement configuration/reporting by conditioning the selection of a measurement configuration or transmission of an event-triggered measurement report on the UE-satellite </w:t>
      </w:r>
      <w:r>
        <w:t>location</w:t>
      </w:r>
      <w:r w:rsidRPr="006C0226">
        <w:t xml:space="preserve">. </w:t>
      </w:r>
      <w:r w:rsidR="00BC7A22">
        <w:t>A</w:t>
      </w:r>
      <w:r w:rsidRPr="006C0226">
        <w:t xml:space="preserve">dditional conditional-handover triggering criteria based on UE-satellite distance </w:t>
      </w:r>
      <w:r w:rsidR="00BC7A22">
        <w:t xml:space="preserve">and time are </w:t>
      </w:r>
      <w:r w:rsidR="00193592">
        <w:t>additionally</w:t>
      </w:r>
      <w:r w:rsidR="00BC7A22">
        <w:t xml:space="preserve"> discussed</w:t>
      </w:r>
      <w:r w:rsidRPr="006C0226">
        <w:t>.</w:t>
      </w:r>
    </w:p>
    <w:p w14:paraId="736A3CFD" w14:textId="2F9EBA69" w:rsidR="00214E6A" w:rsidRDefault="00214E6A" w:rsidP="00214E6A">
      <w:pPr>
        <w:pStyle w:val="Heading1"/>
      </w:pPr>
      <w:r>
        <w:t>Discussion</w:t>
      </w:r>
    </w:p>
    <w:p w14:paraId="3DE0AB1F" w14:textId="77777777" w:rsidR="00F91634" w:rsidRDefault="00F91634" w:rsidP="00F91634">
      <w:pPr>
        <w:rPr>
          <w:rFonts w:cs="Arial"/>
        </w:rPr>
      </w:pPr>
      <w:r>
        <w:rPr>
          <w:rFonts w:cs="Arial"/>
        </w:rPr>
        <w:t>I</w:t>
      </w:r>
      <w:r w:rsidRPr="008B113D">
        <w:rPr>
          <w:rFonts w:cs="Arial"/>
        </w:rPr>
        <w:t>n RRC_</w:t>
      </w:r>
      <w:r w:rsidRPr="00370C83">
        <w:rPr>
          <w:rFonts w:cs="Arial"/>
        </w:rPr>
        <w:t>CONNECTED [2], the UE</w:t>
      </w:r>
      <w:r w:rsidRPr="008B113D">
        <w:rPr>
          <w:rFonts w:cs="Arial"/>
        </w:rPr>
        <w:t xml:space="preserve"> measures</w:t>
      </w:r>
      <w:r>
        <w:rPr>
          <w:rFonts w:cs="Arial"/>
        </w:rPr>
        <w:t xml:space="preserve"> at least one beam of a cell, with measurement results (power values) averaged to derive the cell quality. Such filtering takes place at two levels, the physical layer to derive beam quality and at RRC level to derive the cell quality. Layer 3 cell quality measurements (i.e. RSRP and RSRQ) are derived in the same way for the serving and candidate cells, with reporting of measurements being configured by the network.</w:t>
      </w:r>
    </w:p>
    <w:p w14:paraId="6F119B7A" w14:textId="77777777" w:rsidR="00F91634" w:rsidRPr="008B113D" w:rsidRDefault="00F91634" w:rsidP="00F91634">
      <w:pPr>
        <w:rPr>
          <w:rFonts w:cs="Arial"/>
        </w:rPr>
      </w:pPr>
      <w:r w:rsidRPr="00445468">
        <w:rPr>
          <w:rFonts w:cs="Arial"/>
        </w:rPr>
        <w:t>Baseline mobility procedures in Rel-1</w:t>
      </w:r>
      <w:r>
        <w:rPr>
          <w:rFonts w:cs="Arial"/>
        </w:rPr>
        <w:t>6</w:t>
      </w:r>
      <w:r w:rsidRPr="00445468">
        <w:rPr>
          <w:rFonts w:cs="Arial"/>
        </w:rPr>
        <w:t xml:space="preserve"> NR leverage UE measurement reports, transmitted periodically, or triggered based on measurement events such as the RSRP/RSRQ of a neighbo</w:t>
      </w:r>
      <w:r>
        <w:rPr>
          <w:rFonts w:cs="Arial"/>
        </w:rPr>
        <w:t>u</w:t>
      </w:r>
      <w:r w:rsidRPr="00445468">
        <w:rPr>
          <w:rFonts w:cs="Arial"/>
        </w:rPr>
        <w:t>ring cell becoming better than the serving cell</w:t>
      </w:r>
      <w:r>
        <w:rPr>
          <w:rFonts w:cs="Arial"/>
        </w:rPr>
        <w:t xml:space="preserve"> (i.e. the A3 measurement event)</w:t>
      </w:r>
      <w:r w:rsidRPr="00445468">
        <w:rPr>
          <w:rFonts w:cs="Arial"/>
        </w:rPr>
        <w:t xml:space="preserve">. </w:t>
      </w:r>
      <w:r>
        <w:rPr>
          <w:rFonts w:cs="Arial"/>
        </w:rPr>
        <w:t>T</w:t>
      </w:r>
      <w:r w:rsidRPr="00445468">
        <w:rPr>
          <w:rFonts w:cs="Arial"/>
        </w:rPr>
        <w:t xml:space="preserve">he UE may </w:t>
      </w:r>
      <w:r>
        <w:rPr>
          <w:rFonts w:cs="Arial"/>
        </w:rPr>
        <w:t xml:space="preserve">then </w:t>
      </w:r>
      <w:r w:rsidRPr="00445468">
        <w:rPr>
          <w:rFonts w:cs="Arial"/>
        </w:rPr>
        <w:t>be handed over to a target cell via reception of a HO command</w:t>
      </w:r>
      <w:r>
        <w:rPr>
          <w:rFonts w:cs="Arial"/>
        </w:rPr>
        <w:t xml:space="preserve"> from the NW</w:t>
      </w:r>
      <w:r w:rsidRPr="00445468">
        <w:rPr>
          <w:rFonts w:cs="Arial"/>
        </w:rPr>
        <w:t>, which contains the target cell configuration.</w:t>
      </w:r>
    </w:p>
    <w:p w14:paraId="5DCC8747" w14:textId="77777777" w:rsidR="00F91634" w:rsidRDefault="00F91634" w:rsidP="00F91634">
      <w:pPr>
        <w:rPr>
          <w:rFonts w:cs="Arial"/>
        </w:rPr>
      </w:pPr>
      <w:r>
        <w:rPr>
          <w:rFonts w:cs="Arial"/>
        </w:rPr>
        <w:t xml:space="preserve">In terrestrial systems, a UE can determine it is near the edge of a cell due to the near-far effect – a clear difference in RSRP in the cell centre as compared to cell edge. As </w:t>
      </w:r>
      <w:r w:rsidRPr="00370C83">
        <w:rPr>
          <w:rFonts w:cs="Arial"/>
        </w:rPr>
        <w:t>described in [3] such</w:t>
      </w:r>
      <w:r w:rsidRPr="00772DCD">
        <w:rPr>
          <w:rFonts w:cs="Arial"/>
        </w:rPr>
        <w:t xml:space="preserve"> an</w:t>
      </w:r>
      <w:r>
        <w:rPr>
          <w:rFonts w:cs="Arial"/>
        </w:rPr>
        <w:t xml:space="preserve"> effect may not be as pronounced in non-terrestrial deployments, thus the </w:t>
      </w:r>
      <w:r w:rsidRPr="007A2BE2">
        <w:rPr>
          <w:rFonts w:cs="Arial"/>
        </w:rPr>
        <w:t xml:space="preserve">difference in signal strength between two </w:t>
      </w:r>
      <w:r>
        <w:rPr>
          <w:rFonts w:cs="Arial"/>
        </w:rPr>
        <w:t>cells</w:t>
      </w:r>
      <w:r w:rsidRPr="007A2BE2">
        <w:rPr>
          <w:rFonts w:cs="Arial"/>
        </w:rPr>
        <w:t xml:space="preserve"> in </w:t>
      </w:r>
      <w:r>
        <w:rPr>
          <w:rFonts w:cs="Arial"/>
        </w:rPr>
        <w:t xml:space="preserve">the </w:t>
      </w:r>
      <w:r w:rsidRPr="007A2BE2">
        <w:rPr>
          <w:rFonts w:cs="Arial"/>
        </w:rPr>
        <w:t>overlap region may be low.</w:t>
      </w:r>
      <w:r>
        <w:rPr>
          <w:rFonts w:cs="Arial"/>
        </w:rPr>
        <w:t xml:space="preserve"> Given the large cell diameters possible in non-terrestrial networks the regions of cell overlap can be significantly larger than in terrestrial systems, resulting in wide areas where measurements may be similar between neighbouring cells.</w:t>
      </w:r>
    </w:p>
    <w:p w14:paraId="1AB008CF" w14:textId="4E16A70D" w:rsidR="00F91634" w:rsidRPr="007A2BE2" w:rsidRDefault="00F91634" w:rsidP="00F91634">
      <w:pPr>
        <w:rPr>
          <w:rFonts w:cs="Arial"/>
        </w:rPr>
      </w:pPr>
      <w:r>
        <w:rPr>
          <w:rFonts w:cs="Arial"/>
        </w:rPr>
        <w:t>As the Rel-16 handover mechanism is based on the A3 measurement events, the UE may have difficulty distinguishing the better cell in areas of overlap</w:t>
      </w:r>
      <w:r w:rsidR="002B47C0">
        <w:rPr>
          <w:rFonts w:cs="Arial"/>
        </w:rPr>
        <w:t>.</w:t>
      </w:r>
      <w:r>
        <w:rPr>
          <w:rFonts w:cs="Arial"/>
        </w:rPr>
        <w:t xml:space="preserve"> </w:t>
      </w:r>
      <w:r w:rsidR="002B47C0">
        <w:rPr>
          <w:rFonts w:cs="Arial"/>
        </w:rPr>
        <w:t>S</w:t>
      </w:r>
      <w:r>
        <w:rPr>
          <w:rFonts w:cs="Arial"/>
        </w:rPr>
        <w:t xml:space="preserve">uch a scenario could lead to the </w:t>
      </w:r>
      <w:r w:rsidRPr="007A2BE2">
        <w:rPr>
          <w:rFonts w:cs="Arial"/>
        </w:rPr>
        <w:t>UE ping-pong</w:t>
      </w:r>
      <w:r>
        <w:rPr>
          <w:rFonts w:cs="Arial"/>
        </w:rPr>
        <w:t>ing</w:t>
      </w:r>
      <w:r w:rsidRPr="007A2BE2">
        <w:rPr>
          <w:rFonts w:cs="Arial"/>
        </w:rPr>
        <w:t xml:space="preserve"> back and forth</w:t>
      </w:r>
      <w:r>
        <w:rPr>
          <w:rFonts w:cs="Arial"/>
        </w:rPr>
        <w:t xml:space="preserve"> between cells, and an overall reduction in handover robustness.</w:t>
      </w:r>
    </w:p>
    <w:p w14:paraId="00AD328F" w14:textId="77777777" w:rsidR="00F91634" w:rsidRDefault="00F91634" w:rsidP="00F91634">
      <w:pPr>
        <w:pStyle w:val="Heading2"/>
      </w:pPr>
      <w:r>
        <w:t>Location-assisted mobility in NTN</w:t>
      </w:r>
    </w:p>
    <w:p w14:paraId="0F794356" w14:textId="062C43B9" w:rsidR="00F91634" w:rsidRDefault="00F91634" w:rsidP="00F91634">
      <w:r>
        <w:t>Throughout the study phase, multiple solutions where proposed in section 7.3.2.2 to enhance mobility for UEs both with and without location information, including modification of measurement thresholds and introduction of several new conditional handover triggers. However, based on the Rel-</w:t>
      </w:r>
      <w:r w:rsidRPr="00370C83">
        <w:t>17 WID [1], it</w:t>
      </w:r>
      <w:r>
        <w:t xml:space="preserve"> is assumed that all Rel-17 UEs are GNSS capable, and will thus have knowledge of UE location information in addition to </w:t>
      </w:r>
      <w:r>
        <w:lastRenderedPageBreak/>
        <w:t>knowledge of satellite characteristics such as location, speed and direction from ephemeris data provided in system information.</w:t>
      </w:r>
    </w:p>
    <w:p w14:paraId="3A18F43D" w14:textId="040D544B" w:rsidR="00F91634" w:rsidRDefault="00F91634" w:rsidP="00F91634">
      <w:pPr>
        <w:ind w:left="1440" w:hanging="1440"/>
        <w:rPr>
          <w:i/>
          <w:lang w:eastAsia="sv-SE"/>
        </w:rPr>
      </w:pPr>
      <w:r w:rsidRPr="00EB3673">
        <w:rPr>
          <w:i/>
          <w:u w:val="single"/>
          <w:lang w:eastAsia="sv-SE"/>
        </w:rPr>
        <w:t xml:space="preserve">Observation </w:t>
      </w:r>
      <w:r w:rsidR="00AC0B0B" w:rsidRPr="00EB3673">
        <w:rPr>
          <w:i/>
          <w:u w:val="single"/>
          <w:lang w:eastAsia="sv-SE"/>
        </w:rPr>
        <w:t>1</w:t>
      </w:r>
      <w:r w:rsidRPr="00EB3673">
        <w:rPr>
          <w:i/>
          <w:u w:val="single"/>
          <w:lang w:eastAsia="sv-SE"/>
        </w:rPr>
        <w:t>:</w:t>
      </w:r>
      <w:r w:rsidRPr="002B7347">
        <w:rPr>
          <w:i/>
          <w:lang w:eastAsia="sv-SE"/>
        </w:rPr>
        <w:t xml:space="preserve"> </w:t>
      </w:r>
      <w:r w:rsidRPr="002B7347">
        <w:rPr>
          <w:i/>
          <w:lang w:eastAsia="sv-SE"/>
        </w:rPr>
        <w:tab/>
      </w:r>
      <w:r w:rsidRPr="00612C39">
        <w:rPr>
          <w:i/>
          <w:lang w:eastAsia="sv-SE"/>
        </w:rPr>
        <w:t>Rel-17 NTN-capable UEs are assumed to have GNSS support</w:t>
      </w:r>
      <w:r>
        <w:rPr>
          <w:i/>
          <w:lang w:eastAsia="sv-SE"/>
        </w:rPr>
        <w:t xml:space="preserve"> and knowledge of satellite location via ephemeris data.</w:t>
      </w:r>
    </w:p>
    <w:p w14:paraId="6A5E9DC3" w14:textId="77777777" w:rsidR="00F91634" w:rsidRDefault="00F91634" w:rsidP="00F91634">
      <w:r>
        <w:t>Given the importance of location information to enhance other aspects of the system such as distance-based pre-compensation for random access, it seems likely that a framework will be defined in Rel-17 for the UE to obtain and calculate information necessary for distance calculation. Enhancements to measurement-based mobility should therefore leverage this ability and prioritize distance-based mobility enhancements as baseline.</w:t>
      </w:r>
    </w:p>
    <w:p w14:paraId="4AD74304" w14:textId="77777777" w:rsidR="00F91634" w:rsidRDefault="00F91634" w:rsidP="00F91634">
      <w:pPr>
        <w:pStyle w:val="Heading3"/>
      </w:pPr>
      <w:r>
        <w:t>Enhancements to Measurement Configuration/Reporting</w:t>
      </w:r>
    </w:p>
    <w:p w14:paraId="1500F2C4" w14:textId="5437CFDE" w:rsidR="004E56AE" w:rsidRDefault="00297C79" w:rsidP="006263F9">
      <w:r>
        <w:t>A d</w:t>
      </w:r>
      <w:r w:rsidR="006D5B28">
        <w:t>iscussion on connected mode mobility occurred after</w:t>
      </w:r>
      <w:r w:rsidR="00C33BF6">
        <w:t xml:space="preserve"> RAN2#111e</w:t>
      </w:r>
      <w:r w:rsidR="00DF1425">
        <w:t xml:space="preserve"> [</w:t>
      </w:r>
      <w:r w:rsidR="00370C83">
        <w:t>4</w:t>
      </w:r>
      <w:r w:rsidR="00DF1425">
        <w:t>], where</w:t>
      </w:r>
      <w:r w:rsidR="006A0644">
        <w:t xml:space="preserve"> </w:t>
      </w:r>
      <w:r w:rsidR="003A1BF2">
        <w:t>a</w:t>
      </w:r>
      <w:r w:rsidR="006A0644">
        <w:t xml:space="preserve"> proposal </w:t>
      </w:r>
      <w:r w:rsidR="003A1BF2">
        <w:t xml:space="preserve">to </w:t>
      </w:r>
      <w:r w:rsidR="006A0644">
        <w:t>introduc</w:t>
      </w:r>
      <w:r w:rsidR="003A1BF2">
        <w:t>e</w:t>
      </w:r>
      <w:r w:rsidR="006A0644">
        <w:t xml:space="preserve"> a location-based measurement event</w:t>
      </w:r>
      <w:r w:rsidR="003A1BF2">
        <w:t xml:space="preserve"> received large support</w:t>
      </w:r>
      <w:r w:rsidR="00DF1425">
        <w:t>.</w:t>
      </w:r>
      <w:r w:rsidR="00323CB5">
        <w:t xml:space="preserve"> However, considering the legacy measurement framework is to be taken as baseline, </w:t>
      </w:r>
      <w:r w:rsidR="004E56AE">
        <w:t>measurement</w:t>
      </w:r>
      <w:r w:rsidR="00E67882">
        <w:t>-based events</w:t>
      </w:r>
      <w:r w:rsidR="00557E74">
        <w:t>/configurations</w:t>
      </w:r>
      <w:r w:rsidR="00E67882">
        <w:t xml:space="preserve"> may also </w:t>
      </w:r>
      <w:r w:rsidR="002B47C0">
        <w:t xml:space="preserve">benefit from </w:t>
      </w:r>
      <w:r w:rsidR="00E67882">
        <w:t>leverag</w:t>
      </w:r>
      <w:r w:rsidR="002B47C0">
        <w:t>ing</w:t>
      </w:r>
      <w:r w:rsidR="00E67882">
        <w:t xml:space="preserve"> location information</w:t>
      </w:r>
      <w:r w:rsidR="00323948">
        <w:t>, providing additional redundancy considering the previously described challenges to measurement-based mobility in</w:t>
      </w:r>
      <w:r w:rsidR="00E67882">
        <w:t xml:space="preserve"> the NTN environment</w:t>
      </w:r>
      <w:r w:rsidR="00323CB5">
        <w:t>.</w:t>
      </w:r>
    </w:p>
    <w:p w14:paraId="1B61E717" w14:textId="32F723D7" w:rsidR="00F91634" w:rsidRDefault="00323CB5" w:rsidP="006263F9">
      <w:r>
        <w:t>One way t</w:t>
      </w:r>
      <w:r w:rsidR="006263F9">
        <w:t>his could be implemented</w:t>
      </w:r>
      <w:r w:rsidR="00F91634">
        <w:t xml:space="preserve"> </w:t>
      </w:r>
      <w:r w:rsidR="00240C69">
        <w:t xml:space="preserve">is </w:t>
      </w:r>
      <w:r w:rsidR="00860348">
        <w:t>by</w:t>
      </w:r>
      <w:r w:rsidR="00F91634">
        <w:t xml:space="preserve"> restrict</w:t>
      </w:r>
      <w:r w:rsidR="00860348">
        <w:t>ing</w:t>
      </w:r>
      <w:r w:rsidR="00F91634">
        <w:t xml:space="preserve"> the transmission of the measurement report based on distance from the UE to the satellite. For example, for inter-satellite handover, if an event triggers a measurement report, the UE may first calculate its distance to the serving and target satellite. If the UE detects that it is still relatively closer to the current serving satellite (i.e. within a configurable distance threshold) it may be configured to delay transmission of the report.</w:t>
      </w:r>
    </w:p>
    <w:p w14:paraId="15EB3074" w14:textId="77777777" w:rsidR="00F91634" w:rsidRDefault="00F91634" w:rsidP="00F91634">
      <w:pPr>
        <w:ind w:left="1440" w:hanging="1440"/>
        <w:rPr>
          <w:b/>
          <w:lang w:eastAsia="sv-SE"/>
        </w:rPr>
      </w:pPr>
      <w:r w:rsidRPr="00DD4F71">
        <w:rPr>
          <w:b/>
          <w:lang w:eastAsia="sv-SE"/>
        </w:rPr>
        <w:t xml:space="preserve">Proposal 1: </w:t>
      </w:r>
      <w:r w:rsidRPr="00DD4F71">
        <w:rPr>
          <w:b/>
          <w:lang w:eastAsia="sv-SE"/>
        </w:rPr>
        <w:tab/>
      </w:r>
      <w:r>
        <w:rPr>
          <w:b/>
          <w:lang w:eastAsia="sv-SE"/>
        </w:rPr>
        <w:t>UE measurement reporting for mobility can be conditional on distance to the satellite.</w:t>
      </w:r>
    </w:p>
    <w:p w14:paraId="16CF92FA" w14:textId="77777777" w:rsidR="00F91634" w:rsidRDefault="00F91634" w:rsidP="00F91634">
      <w:pPr>
        <w:rPr>
          <w:lang w:eastAsia="sv-SE"/>
        </w:rPr>
      </w:pPr>
      <w:r>
        <w:rPr>
          <w:lang w:eastAsia="sv-SE"/>
        </w:rPr>
        <w:t xml:space="preserve">Alternatively, the network may wish to instead configure multiple measurement configurations with different event triggering thresholds depending on the UE location within the cell. For example, a UE closer to cell </w:t>
      </w:r>
      <w:proofErr w:type="spellStart"/>
      <w:r>
        <w:rPr>
          <w:lang w:eastAsia="sv-SE"/>
        </w:rPr>
        <w:t>center</w:t>
      </w:r>
      <w:proofErr w:type="spellEnd"/>
      <w:r>
        <w:rPr>
          <w:lang w:eastAsia="sv-SE"/>
        </w:rPr>
        <w:t xml:space="preserve"> may have a large threshold for triggering a measurement event compared to a UE at cell edge with a smaller threshold to compensate for small differences in RSRP in regions of cell overlap. To prevent frequent reporting of UE location to the network to ensure a proper measurement configuration, the UE may autonomously select between one or more measurement configurations conditional to the UE-satellite distance. </w:t>
      </w:r>
    </w:p>
    <w:p w14:paraId="34462D67" w14:textId="77777777" w:rsidR="00F91634" w:rsidRDefault="00F91634" w:rsidP="00F91634">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Pr>
          <w:b/>
          <w:lang w:eastAsia="sv-SE"/>
        </w:rPr>
        <w:t xml:space="preserve">UE selects between measurement configuration(s) based on distance to cell </w:t>
      </w:r>
      <w:proofErr w:type="spellStart"/>
      <w:r>
        <w:rPr>
          <w:b/>
          <w:lang w:eastAsia="sv-SE"/>
        </w:rPr>
        <w:t>center</w:t>
      </w:r>
      <w:proofErr w:type="spellEnd"/>
      <w:r>
        <w:rPr>
          <w:b/>
          <w:lang w:eastAsia="sv-SE"/>
        </w:rPr>
        <w:t>.</w:t>
      </w:r>
    </w:p>
    <w:p w14:paraId="2F9ECE6F" w14:textId="67A3BE40" w:rsidR="00F91634" w:rsidRDefault="000006DA" w:rsidP="00F91634">
      <w:pPr>
        <w:pStyle w:val="Heading3"/>
      </w:pPr>
      <w:r>
        <w:t>Location</w:t>
      </w:r>
      <w:r w:rsidR="006269DF">
        <w:t>-</w:t>
      </w:r>
      <w:r>
        <w:t xml:space="preserve">based </w:t>
      </w:r>
      <w:r w:rsidR="00F91634">
        <w:t>trigger condition for conditional handover.</w:t>
      </w:r>
    </w:p>
    <w:p w14:paraId="3DA29F98" w14:textId="30A5F462" w:rsidR="006269DF" w:rsidRDefault="006269DF" w:rsidP="006269DF">
      <w:r>
        <w:t xml:space="preserve">Rel-16 conditional handover (CHO) is defined as the UE having network configuration for initiating access to the target cell based on configured conditions. The usage of conditional handover is decided by the network, and the UE evaluates when this condition is valid. Given the large propagation delay in NTN, the latency associated with mobility signalling (e.g. measurement report and handover command) may be excessive, introducing the possibility of service interruption. By instead configuring the UE with conditional handover, the UE can evaluate the handover criterion locally without transmission of a measurement report, thus reducing handover latency. </w:t>
      </w:r>
    </w:p>
    <w:p w14:paraId="261FA0A5" w14:textId="65047658" w:rsidR="002C1322" w:rsidRPr="002C1322" w:rsidRDefault="002C1322" w:rsidP="002C1322">
      <w:pPr>
        <w:rPr>
          <w:lang w:val="en-US" w:eastAsia="en-US"/>
        </w:rPr>
      </w:pPr>
      <w:r w:rsidRPr="002C1322">
        <w:rPr>
          <w:lang w:val="en-US" w:eastAsia="en-US"/>
        </w:rPr>
        <w:t xml:space="preserve">Current NR Rel-16 CHO triggering criteria are measurement-based and may not be suitable for non-terrestrial environments. As </w:t>
      </w:r>
      <w:r w:rsidRPr="00370C83">
        <w:rPr>
          <w:lang w:val="en-US" w:eastAsia="en-US"/>
        </w:rPr>
        <w:t xml:space="preserve">supported in </w:t>
      </w:r>
      <w:r w:rsidR="00370C83">
        <w:rPr>
          <w:lang w:val="en-US" w:eastAsia="en-US"/>
        </w:rPr>
        <w:t>[4</w:t>
      </w:r>
      <w:r w:rsidRPr="00370C83">
        <w:rPr>
          <w:lang w:val="en-US" w:eastAsia="en-US"/>
        </w:rPr>
        <w:t>], NTN</w:t>
      </w:r>
      <w:r w:rsidRPr="002C1322">
        <w:rPr>
          <w:lang w:val="en-US" w:eastAsia="en-US"/>
        </w:rPr>
        <w:t xml:space="preserve"> should introduce an additional CHO trigger condition based on location. A location-based trigger would be well suited especially in areas of cell overlap to compensate for reduced signal strength variation.</w:t>
      </w:r>
    </w:p>
    <w:p w14:paraId="3AA80E87" w14:textId="5B58DA25" w:rsidR="00F91634" w:rsidRPr="00DD4F71" w:rsidRDefault="00F91634" w:rsidP="00F91634">
      <w:pPr>
        <w:ind w:left="1440" w:hanging="1440"/>
        <w:rPr>
          <w:b/>
          <w:lang w:eastAsia="sv-SE"/>
        </w:rPr>
      </w:pPr>
      <w:r w:rsidRPr="00DD4F71">
        <w:rPr>
          <w:b/>
          <w:lang w:eastAsia="sv-SE"/>
        </w:rPr>
        <w:t xml:space="preserve">Proposal </w:t>
      </w:r>
      <w:r w:rsidR="00C358C5">
        <w:rPr>
          <w:b/>
          <w:lang w:eastAsia="sv-SE"/>
        </w:rPr>
        <w:t>3</w:t>
      </w:r>
      <w:r w:rsidRPr="00DD4F71">
        <w:rPr>
          <w:b/>
          <w:lang w:eastAsia="sv-SE"/>
        </w:rPr>
        <w:t xml:space="preserve">: </w:t>
      </w:r>
      <w:r w:rsidRPr="00DD4F71">
        <w:rPr>
          <w:b/>
          <w:lang w:eastAsia="sv-SE"/>
        </w:rPr>
        <w:tab/>
      </w:r>
      <w:r>
        <w:rPr>
          <w:b/>
          <w:lang w:eastAsia="sv-SE"/>
        </w:rPr>
        <w:t>A CHO trigger based on UE and satellite distance is introduced in Rel-17 NTN.</w:t>
      </w:r>
    </w:p>
    <w:p w14:paraId="5C422C3B" w14:textId="22F25CE9" w:rsidR="00F91634" w:rsidRPr="00DD4F71" w:rsidRDefault="00F91634" w:rsidP="00F91634">
      <w:pPr>
        <w:ind w:left="1440" w:hanging="1440"/>
        <w:rPr>
          <w:b/>
          <w:lang w:eastAsia="sv-SE"/>
        </w:rPr>
      </w:pPr>
      <w:r w:rsidRPr="00DD4F71">
        <w:rPr>
          <w:b/>
          <w:lang w:eastAsia="sv-SE"/>
        </w:rPr>
        <w:t xml:space="preserve">Proposal </w:t>
      </w:r>
      <w:r w:rsidR="00C358C5">
        <w:rPr>
          <w:b/>
          <w:lang w:eastAsia="sv-SE"/>
        </w:rPr>
        <w:t>4</w:t>
      </w:r>
      <w:r w:rsidRPr="00DD4F71">
        <w:rPr>
          <w:b/>
          <w:lang w:eastAsia="sv-SE"/>
        </w:rPr>
        <w:t xml:space="preserve">: </w:t>
      </w:r>
      <w:r w:rsidRPr="00DD4F71">
        <w:rPr>
          <w:b/>
          <w:lang w:eastAsia="sv-SE"/>
        </w:rPr>
        <w:tab/>
      </w:r>
      <w:r>
        <w:rPr>
          <w:b/>
          <w:lang w:eastAsia="sv-SE"/>
        </w:rPr>
        <w:t>UE-satellite distance-based CHO trigger(s) may be configured independently, or jointly with measurement-based trigger(s).</w:t>
      </w:r>
    </w:p>
    <w:p w14:paraId="51961CAF" w14:textId="45EADF6B" w:rsidR="000006DA" w:rsidRDefault="000006DA" w:rsidP="000006DA">
      <w:pPr>
        <w:pStyle w:val="Heading2"/>
      </w:pPr>
      <w:r>
        <w:t>Time-based trigger condition for conditional handover</w:t>
      </w:r>
    </w:p>
    <w:p w14:paraId="29409F45" w14:textId="5794ADFF" w:rsidR="000006DA" w:rsidRDefault="001E60CD" w:rsidP="00330872">
      <w:r>
        <w:t>Also</w:t>
      </w:r>
      <w:r w:rsidR="00330872">
        <w:t xml:space="preserve"> captured in the TR is a time-based </w:t>
      </w:r>
      <w:r w:rsidR="000006DA">
        <w:t xml:space="preserve">CHO </w:t>
      </w:r>
      <w:r w:rsidR="00330872">
        <w:t>trigger</w:t>
      </w:r>
      <w:r>
        <w:t>ing solution</w:t>
      </w:r>
      <w:r w:rsidR="00330872">
        <w:t xml:space="preserve">, </w:t>
      </w:r>
      <w:r w:rsidR="00793EEC">
        <w:t>where the UE would trigger CHO at a pre-configured time. Although a location-based solution may be more general</w:t>
      </w:r>
      <w:r w:rsidR="00014D6E">
        <w:t>ly applied</w:t>
      </w:r>
      <w:r w:rsidR="00A22249">
        <w:t xml:space="preserve"> (e.g. for intra-satellite mobility)</w:t>
      </w:r>
      <w:r w:rsidR="00793EEC">
        <w:t>, a time</w:t>
      </w:r>
      <w:r w:rsidR="001A71E7">
        <w:t>-</w:t>
      </w:r>
      <w:r w:rsidR="00793EEC">
        <w:t>based CHO trigger may be beneficial to prepare connected UEs for a feeder-link switch (a discussion on feeder-link switch can be found in a companion contribution [</w:t>
      </w:r>
      <w:r w:rsidR="006B1660">
        <w:t>5</w:t>
      </w:r>
      <w:r w:rsidR="00793EEC">
        <w:t>])</w:t>
      </w:r>
      <w:r w:rsidR="00014D6E">
        <w:t xml:space="preserve">. </w:t>
      </w:r>
    </w:p>
    <w:p w14:paraId="40574319" w14:textId="77777777" w:rsidR="001A71E7" w:rsidRDefault="000006DA" w:rsidP="000006DA">
      <w:pPr>
        <w:rPr>
          <w:lang w:val="en-US"/>
        </w:rPr>
      </w:pPr>
      <w:r w:rsidRPr="007B5387">
        <w:rPr>
          <w:lang w:val="en-US"/>
        </w:rPr>
        <w:t xml:space="preserve">As transparent LEO satellites move around the earth, the satellite may pass a transition point where the serving gNB falls out of coverage, for example, due to the curvature of the earth. At this transition point (or within a time period before), the satellite must establish a new feeder link to an alternative gNB. The point at which the satellite establishes a connection to a new land-based gNB is referred to in the TR as a feeder link switch. </w:t>
      </w:r>
    </w:p>
    <w:p w14:paraId="053CAD41" w14:textId="2B4A67D0" w:rsidR="000006DA" w:rsidRDefault="00D64D74" w:rsidP="000006DA">
      <w:pPr>
        <w:rPr>
          <w:lang w:val="en-US"/>
        </w:rPr>
      </w:pPr>
      <w:r>
        <w:rPr>
          <w:lang w:val="en-US"/>
        </w:rPr>
        <w:lastRenderedPageBreak/>
        <w:t>M</w:t>
      </w:r>
      <w:r w:rsidR="001A71E7">
        <w:rPr>
          <w:lang w:val="en-US"/>
        </w:rPr>
        <w:t>any different</w:t>
      </w:r>
      <w:r w:rsidR="001A71E7" w:rsidRPr="001A71E7">
        <w:rPr>
          <w:lang w:val="en-US"/>
        </w:rPr>
        <w:t xml:space="preserve"> connected UEs must be transition</w:t>
      </w:r>
      <w:r w:rsidR="001A71E7">
        <w:rPr>
          <w:lang w:val="en-US"/>
        </w:rPr>
        <w:t>ed</w:t>
      </w:r>
      <w:r w:rsidR="001A71E7" w:rsidRPr="001A71E7">
        <w:rPr>
          <w:lang w:val="en-US"/>
        </w:rPr>
        <w:t xml:space="preserve"> to the new gNB once the new feeder link is established. Given the large cell sizes and possible user density in NTN, this could lead to a RACH storm with frequent RACH collision. As well, given the increased propagation delay in NTN the </w:t>
      </w:r>
      <w:proofErr w:type="spellStart"/>
      <w:r w:rsidR="001A71E7" w:rsidRPr="001A71E7">
        <w:rPr>
          <w:lang w:val="en-US"/>
        </w:rPr>
        <w:t>signalling</w:t>
      </w:r>
      <w:proofErr w:type="spellEnd"/>
      <w:r w:rsidR="001A71E7" w:rsidRPr="001A71E7">
        <w:rPr>
          <w:lang w:val="en-US"/>
        </w:rPr>
        <w:t xml:space="preserve"> required to perform RRC re-establishment to a new gNB (e.g. RLF detection, cell selection, potential re-establishment failure) may introduce significant </w:t>
      </w:r>
      <w:proofErr w:type="spellStart"/>
      <w:r w:rsidR="001A71E7" w:rsidRPr="001A71E7">
        <w:rPr>
          <w:lang w:val="en-US"/>
        </w:rPr>
        <w:t>signalling</w:t>
      </w:r>
      <w:proofErr w:type="spellEnd"/>
      <w:r w:rsidR="001A71E7" w:rsidRPr="001A71E7">
        <w:rPr>
          <w:lang w:val="en-US"/>
        </w:rPr>
        <w:t xml:space="preserve"> latency and possible service interruption.</w:t>
      </w:r>
    </w:p>
    <w:p w14:paraId="57037AE4" w14:textId="3E2405ED" w:rsidR="00C6277A" w:rsidRDefault="001A71E7" w:rsidP="00A35EC6">
      <w:r>
        <w:rPr>
          <w:lang w:val="en-US"/>
        </w:rPr>
        <w:t xml:space="preserve">However, as </w:t>
      </w:r>
      <w:r w:rsidR="003F7EAA">
        <w:rPr>
          <w:lang w:val="en-US"/>
        </w:rPr>
        <w:t xml:space="preserve">LEO satellite movement is deterministic, the point in which </w:t>
      </w:r>
      <w:r w:rsidR="00A35EC6">
        <w:rPr>
          <w:lang w:val="en-US"/>
        </w:rPr>
        <w:t xml:space="preserve">this feeder-link switch will occur can be known </w:t>
      </w:r>
      <w:r w:rsidR="00AD3F01">
        <w:rPr>
          <w:lang w:val="en-US"/>
        </w:rPr>
        <w:t>in advance</w:t>
      </w:r>
      <w:r w:rsidR="00A35EC6">
        <w:rPr>
          <w:lang w:val="en-US"/>
        </w:rPr>
        <w:t xml:space="preserve">. By configuring the UEs with a time triggered </w:t>
      </w:r>
      <w:bookmarkStart w:id="0" w:name="_GoBack"/>
      <w:bookmarkEnd w:id="0"/>
      <w:r w:rsidR="00A35EC6">
        <w:rPr>
          <w:lang w:val="en-US"/>
        </w:rPr>
        <w:t>CHO to the new cell, UE mobility may be spread out in time, reducing the possibility of collision.</w:t>
      </w:r>
      <w:r w:rsidR="00AD3F01">
        <w:rPr>
          <w:lang w:val="en-US"/>
        </w:rPr>
        <w:t xml:space="preserve"> Such time-based triggers may be better suited for </w:t>
      </w:r>
      <w:r w:rsidR="00AC5CFF">
        <w:rPr>
          <w:lang w:val="en-US"/>
        </w:rPr>
        <w:t>a</w:t>
      </w:r>
      <w:r w:rsidR="00AD3F01">
        <w:rPr>
          <w:lang w:val="en-US"/>
        </w:rPr>
        <w:t xml:space="preserve"> tightly controlled handover</w:t>
      </w:r>
      <w:r w:rsidR="00A60232">
        <w:rPr>
          <w:lang w:val="en-US"/>
        </w:rPr>
        <w:t xml:space="preserve"> </w:t>
      </w:r>
      <w:r w:rsidR="00AD3F01">
        <w:rPr>
          <w:lang w:val="en-US"/>
        </w:rPr>
        <w:t>as compared to location-based triggers</w:t>
      </w:r>
      <w:r w:rsidR="00AC5CFF">
        <w:rPr>
          <w:lang w:val="en-US"/>
        </w:rPr>
        <w:t>,</w:t>
      </w:r>
      <w:r w:rsidR="00AD3F01">
        <w:rPr>
          <w:lang w:val="en-US"/>
        </w:rPr>
        <w:t xml:space="preserve"> as the UE may need to frequently update the satellite and UE location</w:t>
      </w:r>
      <w:r w:rsidR="00D364B9">
        <w:rPr>
          <w:lang w:val="en-US"/>
        </w:rPr>
        <w:t xml:space="preserve"> (e.g. due to UE movement or deviation from predicted orbit)</w:t>
      </w:r>
      <w:r w:rsidR="00AD3F01">
        <w:rPr>
          <w:lang w:val="en-US"/>
        </w:rPr>
        <w:t>, whereas time</w:t>
      </w:r>
      <w:r w:rsidR="00AC5CFF">
        <w:rPr>
          <w:lang w:val="en-US"/>
        </w:rPr>
        <w:t xml:space="preserve"> may be easier to </w:t>
      </w:r>
      <w:r w:rsidR="00D364B9">
        <w:rPr>
          <w:lang w:val="en-US"/>
        </w:rPr>
        <w:t>maintain with a high-degree of accuracy.</w:t>
      </w:r>
    </w:p>
    <w:p w14:paraId="793AAEFA" w14:textId="77777777" w:rsidR="00F35B26" w:rsidRPr="00F35B26" w:rsidRDefault="00F35B26" w:rsidP="00F35B26">
      <w:pPr>
        <w:ind w:left="1440" w:hanging="1440"/>
        <w:rPr>
          <w:b/>
          <w:lang w:eastAsia="sv-SE"/>
        </w:rPr>
      </w:pPr>
      <w:r w:rsidRPr="00DD4F71">
        <w:rPr>
          <w:b/>
          <w:lang w:eastAsia="sv-SE"/>
        </w:rPr>
        <w:t xml:space="preserve">Proposal </w:t>
      </w:r>
      <w:r>
        <w:rPr>
          <w:b/>
          <w:lang w:eastAsia="sv-SE"/>
        </w:rPr>
        <w:t>5</w:t>
      </w:r>
      <w:r w:rsidRPr="00DD4F71">
        <w:rPr>
          <w:b/>
          <w:lang w:eastAsia="sv-SE"/>
        </w:rPr>
        <w:t xml:space="preserve">: </w:t>
      </w:r>
      <w:r w:rsidRPr="00DD4F71">
        <w:rPr>
          <w:b/>
          <w:lang w:eastAsia="sv-SE"/>
        </w:rPr>
        <w:tab/>
      </w:r>
      <w:r>
        <w:rPr>
          <w:b/>
          <w:lang w:eastAsia="sv-SE"/>
        </w:rPr>
        <w:t>A CHO trigger based on time is further studied for feeder-link switch.</w:t>
      </w:r>
    </w:p>
    <w:p w14:paraId="0B6D7D6F" w14:textId="77777777" w:rsidR="00214E6A" w:rsidRPr="004A1A95" w:rsidRDefault="00214E6A" w:rsidP="00214E6A">
      <w:pPr>
        <w:pStyle w:val="Heading1"/>
      </w:pPr>
      <w:r w:rsidRPr="004A1A95">
        <w:t>Conclusion</w:t>
      </w:r>
    </w:p>
    <w:p w14:paraId="66F0DF76" w14:textId="5ABF94D9" w:rsidR="00E013C6" w:rsidRDefault="00214E6A" w:rsidP="00C6277A">
      <w:pPr>
        <w:tabs>
          <w:tab w:val="left" w:pos="0"/>
        </w:tabs>
      </w:pPr>
      <w:r>
        <w:t xml:space="preserve">In this contribution the following observations and proposals were made concerning </w:t>
      </w:r>
      <w:r w:rsidR="00ED1FD8">
        <w:t>connected mode mobility in NTN:</w:t>
      </w:r>
    </w:p>
    <w:p w14:paraId="42046428" w14:textId="77777777" w:rsidR="00F35B26" w:rsidRDefault="00F35B26" w:rsidP="00F35B26">
      <w:pPr>
        <w:ind w:left="1440" w:hanging="1440"/>
        <w:rPr>
          <w:i/>
          <w:lang w:eastAsia="sv-SE"/>
        </w:rPr>
      </w:pPr>
      <w:r w:rsidRPr="00EB3673">
        <w:rPr>
          <w:i/>
          <w:u w:val="single"/>
          <w:lang w:eastAsia="sv-SE"/>
        </w:rPr>
        <w:t>Observation 1:</w:t>
      </w:r>
      <w:r w:rsidRPr="002B7347">
        <w:rPr>
          <w:i/>
          <w:lang w:eastAsia="sv-SE"/>
        </w:rPr>
        <w:t xml:space="preserve"> </w:t>
      </w:r>
      <w:r w:rsidRPr="002B7347">
        <w:rPr>
          <w:i/>
          <w:lang w:eastAsia="sv-SE"/>
        </w:rPr>
        <w:tab/>
      </w:r>
      <w:r w:rsidRPr="00612C39">
        <w:rPr>
          <w:i/>
          <w:lang w:eastAsia="sv-SE"/>
        </w:rPr>
        <w:t>Rel-17 NTN-capable UEs are assumed to have GNSS support</w:t>
      </w:r>
      <w:r>
        <w:rPr>
          <w:i/>
          <w:lang w:eastAsia="sv-SE"/>
        </w:rPr>
        <w:t xml:space="preserve"> and knowledge of satellite location via ephemeris data.</w:t>
      </w:r>
    </w:p>
    <w:p w14:paraId="16C38CF0" w14:textId="77777777" w:rsidR="00F35B26" w:rsidRDefault="00F35B26" w:rsidP="00F35B26">
      <w:pPr>
        <w:ind w:left="1440" w:hanging="1440"/>
        <w:rPr>
          <w:b/>
          <w:lang w:eastAsia="sv-SE"/>
        </w:rPr>
      </w:pPr>
      <w:r w:rsidRPr="00DD4F71">
        <w:rPr>
          <w:b/>
          <w:lang w:eastAsia="sv-SE"/>
        </w:rPr>
        <w:t xml:space="preserve">Proposal 1: </w:t>
      </w:r>
      <w:r w:rsidRPr="00DD4F71">
        <w:rPr>
          <w:b/>
          <w:lang w:eastAsia="sv-SE"/>
        </w:rPr>
        <w:tab/>
      </w:r>
      <w:r>
        <w:rPr>
          <w:b/>
          <w:lang w:eastAsia="sv-SE"/>
        </w:rPr>
        <w:t>UE measurement reporting for mobility can be conditional on distance to the satellite.</w:t>
      </w:r>
    </w:p>
    <w:p w14:paraId="68EEE2AB" w14:textId="77777777" w:rsidR="00F35B26" w:rsidRDefault="00F35B26" w:rsidP="00F35B26">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Pr>
          <w:b/>
          <w:lang w:eastAsia="sv-SE"/>
        </w:rPr>
        <w:t xml:space="preserve">UE selects between measurement configuration(s) based on distance to cell </w:t>
      </w:r>
      <w:proofErr w:type="spellStart"/>
      <w:r>
        <w:rPr>
          <w:b/>
          <w:lang w:eastAsia="sv-SE"/>
        </w:rPr>
        <w:t>center</w:t>
      </w:r>
      <w:proofErr w:type="spellEnd"/>
      <w:r>
        <w:rPr>
          <w:b/>
          <w:lang w:eastAsia="sv-SE"/>
        </w:rPr>
        <w:t>.</w:t>
      </w:r>
    </w:p>
    <w:p w14:paraId="0D7177ED" w14:textId="77777777" w:rsidR="00F35B26" w:rsidRPr="00DD4F71" w:rsidRDefault="00F35B26" w:rsidP="00F35B26">
      <w:pPr>
        <w:ind w:left="1440" w:hanging="1440"/>
        <w:rPr>
          <w:b/>
          <w:lang w:eastAsia="sv-SE"/>
        </w:rPr>
      </w:pPr>
      <w:r w:rsidRPr="00DD4F71">
        <w:rPr>
          <w:b/>
          <w:lang w:eastAsia="sv-SE"/>
        </w:rPr>
        <w:t xml:space="preserve">Proposal </w:t>
      </w:r>
      <w:r>
        <w:rPr>
          <w:b/>
          <w:lang w:eastAsia="sv-SE"/>
        </w:rPr>
        <w:t>3</w:t>
      </w:r>
      <w:r w:rsidRPr="00DD4F71">
        <w:rPr>
          <w:b/>
          <w:lang w:eastAsia="sv-SE"/>
        </w:rPr>
        <w:t xml:space="preserve">: </w:t>
      </w:r>
      <w:r w:rsidRPr="00DD4F71">
        <w:rPr>
          <w:b/>
          <w:lang w:eastAsia="sv-SE"/>
        </w:rPr>
        <w:tab/>
      </w:r>
      <w:r>
        <w:rPr>
          <w:b/>
          <w:lang w:eastAsia="sv-SE"/>
        </w:rPr>
        <w:t>A CHO trigger based on UE and satellite distance is introduced in Rel-17 NTN.</w:t>
      </w:r>
    </w:p>
    <w:p w14:paraId="55126A08" w14:textId="77777777" w:rsidR="00F35B26" w:rsidRPr="00DD4F71" w:rsidRDefault="00F35B26" w:rsidP="00F35B26">
      <w:pPr>
        <w:ind w:left="1440" w:hanging="1440"/>
        <w:rPr>
          <w:b/>
          <w:lang w:eastAsia="sv-SE"/>
        </w:rPr>
      </w:pPr>
      <w:r w:rsidRPr="00DD4F71">
        <w:rPr>
          <w:b/>
          <w:lang w:eastAsia="sv-SE"/>
        </w:rPr>
        <w:t xml:space="preserve">Proposal </w:t>
      </w:r>
      <w:r>
        <w:rPr>
          <w:b/>
          <w:lang w:eastAsia="sv-SE"/>
        </w:rPr>
        <w:t>4</w:t>
      </w:r>
      <w:r w:rsidRPr="00DD4F71">
        <w:rPr>
          <w:b/>
          <w:lang w:eastAsia="sv-SE"/>
        </w:rPr>
        <w:t xml:space="preserve">: </w:t>
      </w:r>
      <w:r w:rsidRPr="00DD4F71">
        <w:rPr>
          <w:b/>
          <w:lang w:eastAsia="sv-SE"/>
        </w:rPr>
        <w:tab/>
      </w:r>
      <w:r>
        <w:rPr>
          <w:b/>
          <w:lang w:eastAsia="sv-SE"/>
        </w:rPr>
        <w:t>UE-satellite distance-based CHO trigger(s) may be configured independently, or jointly with measurement-based trigger(s).</w:t>
      </w:r>
    </w:p>
    <w:p w14:paraId="2F9A0025" w14:textId="613CA68C" w:rsidR="00F35B26" w:rsidRPr="00F35B26" w:rsidRDefault="00F35B26" w:rsidP="00F35B26">
      <w:pPr>
        <w:ind w:left="1440" w:hanging="1440"/>
        <w:rPr>
          <w:b/>
          <w:lang w:eastAsia="sv-SE"/>
        </w:rPr>
      </w:pPr>
      <w:r w:rsidRPr="00DD4F71">
        <w:rPr>
          <w:b/>
          <w:lang w:eastAsia="sv-SE"/>
        </w:rPr>
        <w:t xml:space="preserve">Proposal </w:t>
      </w:r>
      <w:r>
        <w:rPr>
          <w:b/>
          <w:lang w:eastAsia="sv-SE"/>
        </w:rPr>
        <w:t>5</w:t>
      </w:r>
      <w:r w:rsidRPr="00DD4F71">
        <w:rPr>
          <w:b/>
          <w:lang w:eastAsia="sv-SE"/>
        </w:rPr>
        <w:t xml:space="preserve">: </w:t>
      </w:r>
      <w:r w:rsidRPr="00DD4F71">
        <w:rPr>
          <w:b/>
          <w:lang w:eastAsia="sv-SE"/>
        </w:rPr>
        <w:tab/>
      </w:r>
      <w:r>
        <w:rPr>
          <w:b/>
          <w:lang w:eastAsia="sv-SE"/>
        </w:rPr>
        <w:t>A CHO trigger based on time is further studied for feeder-link switch.</w:t>
      </w:r>
    </w:p>
    <w:p w14:paraId="377E0382" w14:textId="77777777" w:rsidR="00214E6A" w:rsidRPr="004A1A95" w:rsidRDefault="00214E6A" w:rsidP="00214E6A">
      <w:pPr>
        <w:pStyle w:val="Heading1"/>
      </w:pPr>
      <w:r w:rsidRPr="004A1A95">
        <w:t>References</w:t>
      </w:r>
    </w:p>
    <w:p w14:paraId="06D75109" w14:textId="77777777" w:rsidR="00063986" w:rsidRDefault="00063986" w:rsidP="00063986">
      <w:pPr>
        <w:pStyle w:val="Reference"/>
        <w:spacing w:after="60"/>
        <w:rPr>
          <w:rFonts w:cs="Arial"/>
          <w:szCs w:val="18"/>
          <w:lang w:val="en-US"/>
        </w:rPr>
      </w:pPr>
      <w:r>
        <w:rPr>
          <w:rFonts w:cs="Arial"/>
          <w:szCs w:val="18"/>
          <w:lang w:val="en-US"/>
        </w:rPr>
        <w:t xml:space="preserve">RP-201256 </w:t>
      </w:r>
      <w:proofErr w:type="gramStart"/>
      <w:r>
        <w:rPr>
          <w:rFonts w:cs="Arial"/>
          <w:szCs w:val="18"/>
          <w:lang w:val="en-US"/>
        </w:rPr>
        <w:t>– ”</w:t>
      </w:r>
      <w:r w:rsidRPr="004366C3">
        <w:rPr>
          <w:rFonts w:cs="Arial"/>
          <w:szCs w:val="18"/>
          <w:lang w:val="en-US"/>
        </w:rPr>
        <w:t>Solutions</w:t>
      </w:r>
      <w:proofErr w:type="gramEnd"/>
      <w:r w:rsidRPr="004366C3">
        <w:rPr>
          <w:rFonts w:cs="Arial"/>
          <w:szCs w:val="18"/>
          <w:lang w:val="en-US"/>
        </w:rPr>
        <w:t xml:space="preserve"> for NR to support non-terrestrial networks (NTN)</w:t>
      </w:r>
      <w:r>
        <w:rPr>
          <w:rFonts w:cs="Arial"/>
          <w:szCs w:val="18"/>
          <w:lang w:val="en-US"/>
        </w:rPr>
        <w:t>”  Rel-17 NTN WID</w:t>
      </w:r>
    </w:p>
    <w:p w14:paraId="0D4C8CEE" w14:textId="267B59BC" w:rsidR="00063986" w:rsidRDefault="00063986" w:rsidP="00063986">
      <w:pPr>
        <w:pStyle w:val="Reference"/>
        <w:spacing w:after="60"/>
        <w:rPr>
          <w:rFonts w:cs="Arial"/>
          <w:szCs w:val="18"/>
          <w:lang w:val="en-US"/>
        </w:rPr>
      </w:pPr>
      <w:r>
        <w:rPr>
          <w:rFonts w:cs="Arial"/>
          <w:szCs w:val="18"/>
          <w:lang w:val="en-US"/>
        </w:rPr>
        <w:t>3GPP TS 38.300</w:t>
      </w:r>
    </w:p>
    <w:p w14:paraId="4CC744F3" w14:textId="773CECE6" w:rsidR="00063986" w:rsidRDefault="00063986" w:rsidP="00063986">
      <w:pPr>
        <w:pStyle w:val="Reference"/>
        <w:spacing w:after="60"/>
        <w:rPr>
          <w:rFonts w:cs="Arial"/>
          <w:szCs w:val="18"/>
          <w:lang w:val="en-US"/>
        </w:rPr>
      </w:pPr>
      <w:r>
        <w:rPr>
          <w:rFonts w:cs="Arial"/>
          <w:szCs w:val="18"/>
          <w:lang w:val="en-US"/>
        </w:rPr>
        <w:t>TR 38.821 – “</w:t>
      </w:r>
      <w:r w:rsidRPr="00060378">
        <w:rPr>
          <w:rFonts w:cs="Arial"/>
          <w:szCs w:val="18"/>
          <w:lang w:val="en-US"/>
        </w:rPr>
        <w:t>Solutions for NR to support non-terrestrial networks (NTN)</w:t>
      </w:r>
      <w:r>
        <w:rPr>
          <w:rFonts w:cs="Arial"/>
          <w:szCs w:val="18"/>
          <w:lang w:val="en-US"/>
        </w:rPr>
        <w:t>”</w:t>
      </w:r>
    </w:p>
    <w:p w14:paraId="77593913" w14:textId="4E744EB9" w:rsidR="00370C83" w:rsidRDefault="00370C83" w:rsidP="00063986">
      <w:pPr>
        <w:pStyle w:val="Reference"/>
        <w:spacing w:after="60"/>
        <w:rPr>
          <w:rFonts w:cs="Arial"/>
          <w:szCs w:val="18"/>
          <w:lang w:val="en-US"/>
        </w:rPr>
      </w:pPr>
      <w:r>
        <w:rPr>
          <w:rFonts w:cs="Arial"/>
          <w:szCs w:val="18"/>
          <w:lang w:val="en-US"/>
        </w:rPr>
        <w:t>R2-2009803 Report of [</w:t>
      </w:r>
      <w:proofErr w:type="gramStart"/>
      <w:r>
        <w:rPr>
          <w:rFonts w:cs="Arial"/>
          <w:szCs w:val="18"/>
          <w:lang w:val="en-US"/>
        </w:rPr>
        <w:t>911][</w:t>
      </w:r>
      <w:proofErr w:type="gramEnd"/>
      <w:r>
        <w:rPr>
          <w:rFonts w:cs="Arial"/>
          <w:szCs w:val="18"/>
          <w:lang w:val="en-US"/>
        </w:rPr>
        <w:t>NTN] Connected Mode Aspects (ZTE Corporation)</w:t>
      </w:r>
    </w:p>
    <w:p w14:paraId="5EFCF795" w14:textId="349D57F5" w:rsidR="00947E05" w:rsidRPr="00E230B1" w:rsidRDefault="00947E05" w:rsidP="00063986">
      <w:pPr>
        <w:pStyle w:val="Reference"/>
        <w:spacing w:after="60"/>
        <w:rPr>
          <w:rFonts w:cs="Arial"/>
          <w:szCs w:val="18"/>
          <w:lang w:val="en-US"/>
        </w:rPr>
      </w:pPr>
      <w:r>
        <w:rPr>
          <w:rFonts w:cs="Arial"/>
          <w:szCs w:val="18"/>
          <w:lang w:val="en-US"/>
        </w:rPr>
        <w:t>R2-20</w:t>
      </w:r>
      <w:r w:rsidR="00E81FCF">
        <w:rPr>
          <w:rFonts w:cs="Arial"/>
          <w:szCs w:val="18"/>
          <w:lang w:val="en-US"/>
        </w:rPr>
        <w:t>10453</w:t>
      </w:r>
      <w:r>
        <w:rPr>
          <w:rFonts w:cs="Arial"/>
          <w:szCs w:val="18"/>
          <w:lang w:val="en-US"/>
        </w:rPr>
        <w:t xml:space="preserve"> Satellite ephemeris in NTN – InterDigital</w:t>
      </w:r>
    </w:p>
    <w:p w14:paraId="2265B772" w14:textId="77777777" w:rsidR="00697E1B" w:rsidRPr="00063986" w:rsidRDefault="00697E1B" w:rsidP="00697E1B">
      <w:pPr>
        <w:rPr>
          <w:lang w:val="en-US"/>
        </w:rPr>
      </w:pPr>
    </w:p>
    <w:sectPr w:rsidR="00697E1B" w:rsidRPr="00063986">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094F8" w14:textId="77777777" w:rsidR="00E07A26" w:rsidRDefault="00E07A26">
      <w:pPr>
        <w:spacing w:after="0"/>
      </w:pPr>
      <w:r>
        <w:separator/>
      </w:r>
    </w:p>
  </w:endnote>
  <w:endnote w:type="continuationSeparator" w:id="0">
    <w:p w14:paraId="75D52665" w14:textId="77777777" w:rsidR="00E07A26" w:rsidRDefault="00E07A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32145" w14:textId="77777777" w:rsidR="00E07A26" w:rsidRDefault="00E07A26">
      <w:pPr>
        <w:spacing w:after="0"/>
      </w:pPr>
      <w:r>
        <w:separator/>
      </w:r>
    </w:p>
  </w:footnote>
  <w:footnote w:type="continuationSeparator" w:id="0">
    <w:p w14:paraId="5E2176B6" w14:textId="77777777" w:rsidR="00E07A26" w:rsidRDefault="00E07A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0B0FDE"/>
    <w:multiLevelType w:val="hybridMultilevel"/>
    <w:tmpl w:val="97BEE4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7"/>
  </w:num>
  <w:num w:numId="3">
    <w:abstractNumId w:val="8"/>
  </w:num>
  <w:num w:numId="4">
    <w:abstractNumId w:val="14"/>
  </w:num>
  <w:num w:numId="5">
    <w:abstractNumId w:val="4"/>
  </w:num>
  <w:num w:numId="6">
    <w:abstractNumId w:val="13"/>
  </w:num>
  <w:num w:numId="7">
    <w:abstractNumId w:val="9"/>
  </w:num>
  <w:num w:numId="8">
    <w:abstractNumId w:val="0"/>
  </w:num>
  <w:num w:numId="9">
    <w:abstractNumId w:val="11"/>
  </w:num>
  <w:num w:numId="10">
    <w:abstractNumId w:val="12"/>
  </w:num>
  <w:num w:numId="11">
    <w:abstractNumId w:val="6"/>
  </w:num>
  <w:num w:numId="12">
    <w:abstractNumId w:val="2"/>
  </w:num>
  <w:num w:numId="13">
    <w:abstractNumId w:val="5"/>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6DA"/>
    <w:rsid w:val="00013648"/>
    <w:rsid w:val="00014D6E"/>
    <w:rsid w:val="000600DC"/>
    <w:rsid w:val="00063986"/>
    <w:rsid w:val="00064052"/>
    <w:rsid w:val="000674C7"/>
    <w:rsid w:val="0008793C"/>
    <w:rsid w:val="00091494"/>
    <w:rsid w:val="000B3CE8"/>
    <w:rsid w:val="000B3F22"/>
    <w:rsid w:val="0013125D"/>
    <w:rsid w:val="00143787"/>
    <w:rsid w:val="00166C9B"/>
    <w:rsid w:val="001840A5"/>
    <w:rsid w:val="00193592"/>
    <w:rsid w:val="001A5794"/>
    <w:rsid w:val="001A71E7"/>
    <w:rsid w:val="001C62FA"/>
    <w:rsid w:val="001E60CD"/>
    <w:rsid w:val="00214E6A"/>
    <w:rsid w:val="00240C69"/>
    <w:rsid w:val="0024763F"/>
    <w:rsid w:val="00297C79"/>
    <w:rsid w:val="002B47C0"/>
    <w:rsid w:val="002C1322"/>
    <w:rsid w:val="002C4C84"/>
    <w:rsid w:val="002C7497"/>
    <w:rsid w:val="002D3C8A"/>
    <w:rsid w:val="002F3704"/>
    <w:rsid w:val="00314987"/>
    <w:rsid w:val="00323948"/>
    <w:rsid w:val="00323CB5"/>
    <w:rsid w:val="00330872"/>
    <w:rsid w:val="00330B3E"/>
    <w:rsid w:val="00353D6B"/>
    <w:rsid w:val="00370C83"/>
    <w:rsid w:val="00383D4F"/>
    <w:rsid w:val="00394A8F"/>
    <w:rsid w:val="0039750E"/>
    <w:rsid w:val="003A1BF2"/>
    <w:rsid w:val="003A2818"/>
    <w:rsid w:val="003A2C98"/>
    <w:rsid w:val="003D2B16"/>
    <w:rsid w:val="003F1E56"/>
    <w:rsid w:val="003F7EAA"/>
    <w:rsid w:val="004040A2"/>
    <w:rsid w:val="004061A8"/>
    <w:rsid w:val="004117AE"/>
    <w:rsid w:val="004345C3"/>
    <w:rsid w:val="00440C2E"/>
    <w:rsid w:val="00451891"/>
    <w:rsid w:val="004869D6"/>
    <w:rsid w:val="004E08DF"/>
    <w:rsid w:val="004E56AE"/>
    <w:rsid w:val="004F7322"/>
    <w:rsid w:val="00526EF4"/>
    <w:rsid w:val="00541DC0"/>
    <w:rsid w:val="00557E74"/>
    <w:rsid w:val="00563198"/>
    <w:rsid w:val="005B1D2C"/>
    <w:rsid w:val="005B74AE"/>
    <w:rsid w:val="005F4E9B"/>
    <w:rsid w:val="00626355"/>
    <w:rsid w:val="006263F9"/>
    <w:rsid w:val="006269DF"/>
    <w:rsid w:val="00697E1B"/>
    <w:rsid w:val="006A0644"/>
    <w:rsid w:val="006B1660"/>
    <w:rsid w:val="006D5B28"/>
    <w:rsid w:val="0070274C"/>
    <w:rsid w:val="00710564"/>
    <w:rsid w:val="00774669"/>
    <w:rsid w:val="00782864"/>
    <w:rsid w:val="00793EEC"/>
    <w:rsid w:val="007B4EAD"/>
    <w:rsid w:val="007C17CC"/>
    <w:rsid w:val="008167F5"/>
    <w:rsid w:val="00860348"/>
    <w:rsid w:val="009339C3"/>
    <w:rsid w:val="00947C1A"/>
    <w:rsid w:val="00947E05"/>
    <w:rsid w:val="009535F7"/>
    <w:rsid w:val="0097111B"/>
    <w:rsid w:val="00A01D11"/>
    <w:rsid w:val="00A05D9B"/>
    <w:rsid w:val="00A07D83"/>
    <w:rsid w:val="00A22249"/>
    <w:rsid w:val="00A35EC6"/>
    <w:rsid w:val="00A60232"/>
    <w:rsid w:val="00AB5C41"/>
    <w:rsid w:val="00AC0B0B"/>
    <w:rsid w:val="00AC0FB7"/>
    <w:rsid w:val="00AC1B18"/>
    <w:rsid w:val="00AC211F"/>
    <w:rsid w:val="00AC5CFF"/>
    <w:rsid w:val="00AC76A8"/>
    <w:rsid w:val="00AD3F01"/>
    <w:rsid w:val="00B642AA"/>
    <w:rsid w:val="00BC7A22"/>
    <w:rsid w:val="00BD435D"/>
    <w:rsid w:val="00C15A30"/>
    <w:rsid w:val="00C33BF6"/>
    <w:rsid w:val="00C358C5"/>
    <w:rsid w:val="00C5021B"/>
    <w:rsid w:val="00C6277A"/>
    <w:rsid w:val="00CD05AE"/>
    <w:rsid w:val="00CD556B"/>
    <w:rsid w:val="00D11E65"/>
    <w:rsid w:val="00D134EB"/>
    <w:rsid w:val="00D364B9"/>
    <w:rsid w:val="00D52628"/>
    <w:rsid w:val="00D64D74"/>
    <w:rsid w:val="00DB5942"/>
    <w:rsid w:val="00DD0DD9"/>
    <w:rsid w:val="00DF1425"/>
    <w:rsid w:val="00DF3C9A"/>
    <w:rsid w:val="00E013C6"/>
    <w:rsid w:val="00E07A26"/>
    <w:rsid w:val="00E225AC"/>
    <w:rsid w:val="00E36AD3"/>
    <w:rsid w:val="00E67882"/>
    <w:rsid w:val="00E81FCF"/>
    <w:rsid w:val="00EB3673"/>
    <w:rsid w:val="00EB5786"/>
    <w:rsid w:val="00EB6654"/>
    <w:rsid w:val="00EC108B"/>
    <w:rsid w:val="00EC61DF"/>
    <w:rsid w:val="00ED1FD8"/>
    <w:rsid w:val="00ED3E53"/>
    <w:rsid w:val="00ED5307"/>
    <w:rsid w:val="00EE041A"/>
    <w:rsid w:val="00F00A92"/>
    <w:rsid w:val="00F35B26"/>
    <w:rsid w:val="00F91634"/>
    <w:rsid w:val="00F95E43"/>
    <w:rsid w:val="00FA29D0"/>
    <w:rsid w:val="00FD3A1A"/>
    <w:rsid w:val="00FD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Observation">
    <w:name w:val="Observation"/>
    <w:basedOn w:val="Normal"/>
    <w:qFormat/>
    <w:rsid w:val="00F91634"/>
    <w:pPr>
      <w:numPr>
        <w:numId w:val="14"/>
      </w:numPr>
      <w:tabs>
        <w:tab w:val="left" w:pos="1701"/>
      </w:tabs>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4187119">
      <w:bodyDiv w:val="1"/>
      <w:marLeft w:val="0"/>
      <w:marRight w:val="0"/>
      <w:marTop w:val="0"/>
      <w:marBottom w:val="0"/>
      <w:divBdr>
        <w:top w:val="none" w:sz="0" w:space="0" w:color="auto"/>
        <w:left w:val="none" w:sz="0" w:space="0" w:color="auto"/>
        <w:bottom w:val="none" w:sz="0" w:space="0" w:color="auto"/>
        <w:right w:val="none" w:sz="0" w:space="0" w:color="auto"/>
      </w:divBdr>
    </w:div>
    <w:div w:id="147379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EECC1F-06AB-4C74-85DF-CD13C1909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1561</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5</cp:revision>
  <dcterms:created xsi:type="dcterms:W3CDTF">2020-10-23T03:25:00Z</dcterms:created>
  <dcterms:modified xsi:type="dcterms:W3CDTF">2020-10-23T03:54:00Z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